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2C4" w:rsidRDefault="008662C4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bookmarkStart w:id="0" w:name="_GoBack"/>
      <w:bookmarkEnd w:id="0"/>
      <w:r w:rsidRPr="008662C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ИТОГИ СОЦИАЛЬНО-ЭКОНОМИЧЕСКОГО РАЗВИТИЯ РЕГИОНА ЗА 2023 ГОД </w:t>
      </w:r>
    </w:p>
    <w:p w:rsidR="00866CC3" w:rsidRPr="00D221E7" w:rsidRDefault="00866CC3" w:rsidP="00866CC3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:rsidR="00866CC3" w:rsidRDefault="00866CC3" w:rsidP="00866C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За 2023 год в области зарегистрировано 892 новые коммерческие организации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,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том числе 126 промышленных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(за 2022 год зарегистрировано 666 новых коммерческих организаций, в том числе 186 промышленных).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В Брестской области на 1 января 2024 г. на налоговом учете состояло 9 022 микро-, малых и 296 средних организаций, 33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972</w:t>
      </w:r>
      <w:r>
        <w:rPr>
          <w:rFonts w:ascii="Times New Roman" w:eastAsia="Calibri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индивидуальных предпринимателя. За 2023 год от субъектов малого и среднего предпринимательства в консолидированный бюджет области поступило 1 130,8 млн. рублей, или 41,8% налоговых поступлений бюджета области, темп роста – 120,8%.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целях оказания содействия развитию малого и среднего предпринимательства в области действуют 16 центров поддержки предпринимательства </w:t>
      </w:r>
      <w:r w:rsidRPr="008662C4">
        <w:rPr>
          <w:rFonts w:ascii="Times New Roman" w:eastAsia="Calibri" w:hAnsi="Times New Roman" w:cs="Times New Roman"/>
          <w:iCs/>
          <w:sz w:val="30"/>
          <w:szCs w:val="30"/>
          <w:lang w:eastAsia="ru-RU"/>
        </w:rPr>
        <w:t>(в городах Брест – 6, Барановичи – 2, Пинск – 2,  Ивацевичи – 1, Кобрин – 1, Пружаны – 1, Столин – 1, Березовском районе – 2)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и 2 инкубатора малого предпринимательства </w:t>
      </w:r>
      <w:r w:rsidRPr="008662C4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(в городах Брест, Береза)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</w:p>
    <w:p w:rsidR="008662C4" w:rsidRPr="008662C4" w:rsidRDefault="008662C4" w:rsidP="008662C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>Г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осударственная финансовая поддержка оказана 8 субъектам малого предпринимательства на общую сумму 3 266 тыс. рублей и направлена на реализацию инвестиционных проектов, предусматривающих организацию и развитие производства импортозамещающих товаров, в частности на приобретение оборудования изделий из нержавеющей стали, метизных изделий, изделий из пластмассы и т.д.</w:t>
      </w:r>
    </w:p>
    <w:p w:rsidR="008662C4" w:rsidRPr="008662C4" w:rsidRDefault="008662C4" w:rsidP="008662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настоящее время ситуация на потребительском рынке Брестской области остается стабильной и управляемой. В торговых объектах обеспечен широкий ассортимент товаров, в том числе отечественного и импортного производства.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Доля отечественных товаров в структуре продаж торговых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за январь-сентябрь 2023 г.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 составила 67,0 % (по республике – 60,8 %), в том числе по продовольственным товарам – 78,4 % (77,9%), по непродовольственным товарам – 53,3 % (41,8 %), и по сравнению с аналогичным периодом 2022 года увеличилась на 0,4 п.п., в том числе по 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«плюс» 0,4 п.п.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, по непродовольственным товарам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«плюс» 0,3 п.п.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 xml:space="preserve">По данным Торгового реестра Республики Беларусь по состоянию на 01.01.2024 на территории Брестской области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функционируют 17996 розничных торговых объектов с торговой площадью 1036,4 тыс. кв. м., из них 8175 магазинов с торговой площадью 913,1 тыс. кв. м.; 3058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объектов общественного питания на 139,2 тыс. мест.  </w:t>
      </w:r>
    </w:p>
    <w:p w:rsid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lastRenderedPageBreak/>
        <w:t xml:space="preserve">Норматив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минимальной обеспеченности населения торговой площадью жителей Брестской области составляет 821,21 кв. метров на 1 тыс. человек при нормативе 610 кв.м., </w:t>
      </w:r>
      <w:r w:rsidRPr="008662C4">
        <w:rPr>
          <w:rFonts w:ascii="Times New Roman" w:eastAsia="Times New Roman" w:hAnsi="Times New Roman" w:cs="Times New Roman"/>
          <w:iCs/>
          <w:color w:val="000000"/>
          <w:sz w:val="30"/>
          <w:szCs w:val="30"/>
          <w:lang w:eastAsia="ru-RU"/>
        </w:rPr>
        <w:t>норматив минимальной обеспеченности населения местами в общедоступных объектах общественного питания составляет 46,9 мест на 1000 жителей при нормативе 42.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Объем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внешней торговли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товарами в январе-ноябре 2023 г. превысил 5 млрд. долл. и увеличился по сравнению с январем-ноябрем 2022 г. на 0,2%. В том числе, экспорт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составил 3,2 млрд. долл., или на 5,4% ниже уровня января-ноября 2022 г. Сальдо внешней торговли товарами сложилось положительное и составило 1,3 млрд.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Область по-прежнему сохраняет лидирующую позицию в республике по объемам экспорта сельхозпродукции и продуктов питания. За январь-ноябрь 2023 г. объем экспорта составил порядка 2 млрд. долл., темп роста – 95,2%. Доля в экспорте республики 28,8%.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Крупнейшие внешнеторговые партнеры области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(2 970,9 млн. долл., или 91,7% от общего объема экспорта)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Россия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(2500,7 млн. долл., доля в экспорте – 77,2%)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Китай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(155,1 млн. долл., 4,8%)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Казахстан </w:t>
      </w:r>
      <w:r w:rsidRPr="009008A0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>(148,4 млн. долл., 4,6%)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Доля рынка Европейского Союза в январе-ноябре 2023 г. уменьшилась до 7,1% с 13,8%, при этом присутствие предприятий области на данном рынке поддерживается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Экспорт товаров в страны «дальней дуги» за январь-ноябрь 2023 г. составил 200,0 млн. долл., или 134,5% к уровню соответствующего периода 2022 года.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Экспорт услуг</w:t>
      </w:r>
      <w:r w:rsidRPr="009008A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области за январь-ноябрь 2023 г. составил 315,5 млн. долл., или 91,6% к уровню аналогичного периода 2022 года. Сальдо сложилось положительное в размере 139,6 млн. долл.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За 9 месяцев 2023 года не достигнуто выполнение целевого показателя по </w:t>
      </w:r>
      <w:r w:rsidRPr="009008A0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снижению уровня затрат</w:t>
      </w: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 xml:space="preserve"> – «плюс» 1,4% при задании «минус» 1,4%.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bCs/>
          <w:spacing w:val="-6"/>
          <w:sz w:val="30"/>
          <w:szCs w:val="30"/>
          <w:lang w:eastAsia="ru-RU"/>
        </w:rPr>
        <w:t>Рост затрат связан с увеличением к январю-сентябрю 2022 г. фактических закупочных цен на сырье и компоненты.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Номинальная начисленная среднемесячная заработная плата в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2023 году в области составила 1 675,5 руб., увеличилась к 2022 году на 18,9%, реальная на 13,1%.</w:t>
      </w:r>
    </w:p>
    <w:p w:rsidR="009008A0" w:rsidRPr="009008A0" w:rsidRDefault="009008A0" w:rsidP="009008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бюджетных организациях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области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заработная плата 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 2023 году </w:t>
      </w:r>
      <w:r w:rsidRPr="009008A0">
        <w:rPr>
          <w:rFonts w:ascii="Times New Roman" w:eastAsia="Times New Roman" w:hAnsi="Times New Roman" w:cs="Times New Roman"/>
          <w:sz w:val="30"/>
          <w:szCs w:val="30"/>
          <w:lang w:eastAsia="ru-RU"/>
        </w:rPr>
        <w:t>составила 1 368 руб.</w:t>
      </w:r>
      <w:r w:rsidRPr="009008A0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и увеличилась 2022 году на 16,4%, реальная – на 10,8%.</w:t>
      </w:r>
    </w:p>
    <w:p w:rsidR="009008A0" w:rsidRPr="008662C4" w:rsidRDefault="009008A0" w:rsidP="008662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По итогам 2023 года по Брестской области ожидаются следующие объемы строительства жилья.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Общий ввод жилья за счет всех источников финансирования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по области в объеме 661,7 тыс. кв. метров общей площади жилых домов </w:t>
      </w:r>
      <w:r w:rsidRPr="008662C4">
        <w:rPr>
          <w:rFonts w:ascii="Times New Roman" w:eastAsia="Calibri" w:hAnsi="Times New Roman" w:cs="Times New Roman"/>
          <w:sz w:val="30"/>
          <w:szCs w:val="30"/>
        </w:rPr>
        <w:lastRenderedPageBreak/>
        <w:t>или 101,8% от годового задания, в том числе 235,0 тыс. кв. метров для граждан, состоящих на учете нуждающихся в улучшении жилищных условий с государственной поддержкой или 88,7% от годового задания. Индивидуальными застройщиками введено в эксплуатацию 368,36 тыс. кв. метров, что составило 55% в общем объеме ввода жилья по области.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В Брестской области все многоквартирные жилые дома проектируются и строятся с классом энергоэффективности не ниже В.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За январь-ноябрь 2023 г. объем подрядных работ увеличился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на 269,9 млн. рублей и составил 1 649,6 млн. рублей, темп роста – 108,7%, при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задании – </w:t>
      </w: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112,2%. </w:t>
      </w:r>
    </w:p>
    <w:p w:rsidR="008662C4" w:rsidRPr="008662C4" w:rsidRDefault="008662C4" w:rsidP="008662C4">
      <w:pPr>
        <w:overflowPunct w:val="0"/>
        <w:autoSpaceDE w:val="0"/>
        <w:autoSpaceDN w:val="0"/>
        <w:adjustRightInd w:val="0"/>
        <w:spacing w:after="0" w:line="240" w:lineRule="auto"/>
        <w:ind w:right="142" w:firstLine="708"/>
        <w:jc w:val="both"/>
        <w:textAlignment w:val="baseline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 xml:space="preserve">Положительная динамика роста объемов подрядных работ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  <w:t xml:space="preserve">к уровню 2022 года обеспечивается в том числе за счет опережающих темпов роста по выполнению капитальных и текущих ремонтов  </w:t>
      </w:r>
      <w:r w:rsidRPr="008662C4">
        <w:rPr>
          <w:rFonts w:ascii="Times New Roman" w:eastAsia="Calibri" w:hAnsi="Times New Roman" w:cs="Times New Roman"/>
          <w:sz w:val="30"/>
          <w:szCs w:val="30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(за январь-ноябрь 2023 г. – 120,2%).</w:t>
      </w:r>
    </w:p>
    <w:p w:rsidR="008662C4" w:rsidRPr="008662C4" w:rsidRDefault="008662C4" w:rsidP="008662C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Обеспечение полной загрузки подрядных организаций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способствовало повышению эффективности их деятельности –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по итогам работы за январь-октябрь 2023 г. все основные финансово-экономические показатели по вэд «строительство» сложились выше аналогичного периода 2022 г. </w:t>
      </w:r>
    </w:p>
    <w:p w:rsidR="008662C4" w:rsidRPr="008662C4" w:rsidRDefault="008662C4" w:rsidP="008662C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pacing w:val="-8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Количество убыточных строительных организаций Брестской области по сравнению с аналогичным периодом 2022 года  сократилось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в 2,2 раза </w:t>
      </w:r>
      <w:r w:rsidRPr="008662C4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 составило 13 единиц или 11,5% к их общему числу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8662C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(на 01.11.2022 – 29 ед. и 25,7% соответственно).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Среднесписочной численности работников по вэд «строительство» за январь-ноябрь 2023 г. составила 15,4 тыс. человек, темп роста – 94,2%.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Уровень оплаты туда в строительных организациях выше среднеобластного показателя на 97,3 рублей – так за январь-ноябрь 2023</w:t>
      </w:r>
      <w:r>
        <w:rPr>
          <w:rFonts w:ascii="Times New Roman" w:eastAsia="Times New Roman" w:hAnsi="Times New Roman" w:cs="Times New Roman"/>
          <w:sz w:val="30"/>
          <w:szCs w:val="20"/>
          <w:lang w:eastAsia="ru-RU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г. номинальная начисленная среднемесячная заработная плата выросла на 346,1 рублей и составила 1 741,6 рубль, темп роста – 124,8%.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>В целях сохранения положительной динамики роста финансов-экономических показателей работы перед строительными организация</w:t>
      </w:r>
      <w:r w:rsidR="00D71B36">
        <w:rPr>
          <w:rFonts w:ascii="Times New Roman" w:eastAsia="Times New Roman" w:hAnsi="Times New Roman" w:cs="Times New Roman"/>
          <w:sz w:val="30"/>
          <w:szCs w:val="20"/>
          <w:lang w:eastAsia="ru-RU"/>
        </w:rPr>
        <w:t>ми</w:t>
      </w:r>
      <w:r w:rsidRPr="008662C4">
        <w:rPr>
          <w:rFonts w:ascii="Times New Roman" w:eastAsia="Times New Roman" w:hAnsi="Times New Roman" w:cs="Times New Roman"/>
          <w:sz w:val="30"/>
          <w:szCs w:val="20"/>
          <w:lang w:eastAsia="ru-RU"/>
        </w:rPr>
        <w:t xml:space="preserve"> на 2024 год поставлены задачи по обеспечению полной загрузки мощностей, в том числе по поиску объемов работ за пределами области, повышение эффективности их деятельности, обеспечение увеличения оплаты труда в строительстве в строгой взаимоувязке с ростом производительности труда, сохранение кадрового потенциала строительных организаций.</w:t>
      </w:r>
    </w:p>
    <w:p w:rsidR="008662C4" w:rsidRPr="008662C4" w:rsidRDefault="00D71B36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промышленном секторе за 2023 год рост объемов производства (ИФО) составил 103,2% при задании на 2023 год 101,4%. Прирост обеспечен в 3 секциях из 4, в т.ч. в горнодобывающей промышленности темп роста составил 112,8%, в обрабатывающей </w:t>
      </w:r>
      <w:r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104,0%, в водоснабжении, сборе и удалении отходов – 100,1%.</w:t>
      </w:r>
      <w:r w:rsidR="008662C4"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Снижение объемов производства в снабжении электроэнергией, газом, теплом (темп роста 90,7%, за счет ввода в эксплуатацию РУП «Белорусская атомная электростанция») удалось компенсировать приростом на 11,6% в валообразующей для области отрасли – пищевой, в первую очередь благодаря лидерам отрасли: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ОАО «Савушкин продукт» (прирост на 10,7%), ОАО «Брестский мясокомбинат» (9,9%), ОАО «Кобринский маслодельно-сыродельный завод» (7,9%), СП</w:t>
      </w:r>
      <w:r w:rsidR="00D71B36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 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«Санта-Бремор» ООО (25,3%), ООО «АгроПродукт» (14,9%).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Фактически с начала пятилетки отрицательное влияние на общий результат в промышленности оказывает </w:t>
      </w:r>
      <w:r w:rsidRPr="008662C4">
        <w:rPr>
          <w:rFonts w:ascii="Times New Roman" w:eastAsia="Calibri" w:hAnsi="Times New Roman" w:cs="Times New Roman"/>
          <w:bCs/>
          <w:iCs/>
          <w:sz w:val="30"/>
          <w:szCs w:val="30"/>
          <w:lang w:eastAsia="ru-RU"/>
        </w:rPr>
        <w:t>энергетика,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сократив объемы практически на 30% (10% в ИФО).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Падение объемов на протяжении последних трех лет также отмечается на ОАО «558 авиационный ремонтный завод» – на 40%. (2021 год темп роста 103,6%; 2022 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87,8%; 2023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–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63,6%).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При этом рост объемов производства обеспечен в легкой промышленности – 103,3%, производства машин и оборудования – 107,7%, производства вычислительной, электронной и оптической аппаратуры – 100,1%; производства резиновых и пластмассовых изделий, прочих неметаллических минеральных продуктов – 107,3%, металлургического производства – 116,0%, производства кокса и продуктов нефтепереработки – 170,1%.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На 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2024 год задача в промышленности – рост производства на 3,3%.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Также ожидается улучшение ситуации на ОАО «</w:t>
      </w:r>
      <w:r w:rsidR="00D71B36"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558 авиационный ремонтный завод</w:t>
      </w:r>
      <w:r w:rsidRPr="008662C4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» (ИФО 167%). Планируется дальнейший рост в организациях мясомолочной отрасли и резидентов СЭЗ «Брест»</w:t>
      </w:r>
      <w:r w:rsid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На 1 января 2024 г. общая стоимость запасов готовой продукции на складах предприятий Брестской области составила 1243,2 млн. рублей, или 89,7% к среднемесячному объему производства, в том числе: в организациях республиканского подчинения 582,6 млн. руб., или 153,8%, местного – 206,4 млн. руб., или 38,6% и без ведомственного подчинения – 454,1 млн. руб., или 96%.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За 2023 год удельный вес отгруженной инновационной продукции в общем объеме отгруженной продукции организаций обрабатывающей промышленности в целом по области составил 9,6%.</w:t>
      </w:r>
    </w:p>
    <w:p w:rsidR="00D71B36" w:rsidRP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В СЭЗ «Брест» зарегистрировано 39 предприятий-резидентов основного круга без ведомственной подчиненности, из них выпуск инновационной продукции осуществляют 18 предприятий-резидентов (46,2%). </w:t>
      </w:r>
    </w:p>
    <w:p w:rsidR="00D71B36" w:rsidRDefault="00D71B36" w:rsidP="00D71B3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D71B36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По итогам 2023 года произведено импортозамещающей продукции на сумму 995,4 млн. долл. США, что составляет 101,9 % от запланированного объема производства на 2023 год.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В экономике Брестской области значительная роль принадлежит агропромышленному комплексу.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>На протяжение многих лет Брестская область сохраняет лидерские позиции в республике по темпам роста валовой продукции сельского хозяйства, продуктивности скота, товарности и качеству молока, экспорту продуктов питания.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bookmarkStart w:id="1" w:name="_Hlk148345010"/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целом по области в сельскохозяйственном производстве занято свыше 46 тыс. человек, перерабатывающей промышленности – более 15 тыс. человек. </w:t>
      </w:r>
    </w:p>
    <w:p w:rsidR="008662C4" w:rsidRPr="008662C4" w:rsidRDefault="008662C4" w:rsidP="00D71B36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Среднемесячная зарплата в сельскохозяйственных организациях области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выросла на 25% до 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>1627 рублей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, на перерабатывающих предприятиях – на 12% до 2200 рублей.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производству абсолютного большинства видов сельскохозяйственной продукции на душу населения Брестская область превосходит средний показатель по республике.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Уровень самообеспечения основной сельскохозяйственной продукцией по всем видам продукции превышает 100%. Так, в 2022 году в области на душу населения произведено 168 кг мяса при потреблении 98 кг мяса и мясопродуктов, 1537 кг молока при потреблении 238 кг молока и молочных продуктов, 438 штук яиц (265 штук), 1187 кг зерна, 589 кг картофеля (161 кг), 527 кг овощей (174 кг). </w:t>
      </w:r>
    </w:p>
    <w:bookmarkEnd w:id="1"/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Брестская область производит пятую часть валовой продукции сельского хозяйства республики.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свою очередь уровень сельскохозяйственного производства во многом определяет развитие других отраслей, так как в качестве сырья используется практически вся производимая животноводческая и более половины растениеводческой продукции.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Около 80% валовой продукции сельского хозяйства производятся в сельхозорганизациях, в пользовании которых находится 1,2 млн. га сельхозугодий или 88% от их общего наличия. Еще почти 6% – в крестьянских (фермерских) хозяйствах.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Область в лидерах по производству валовой продукции сельского хозяйства в республике. С начала пятилетки </w:t>
      </w:r>
      <w:r w:rsidRPr="008662C4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(2021-2023 годы)</w:t>
      </w:r>
      <w:r w:rsidRPr="008662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темп роста в хозяйствах всех категорий составил 109,1% (по республике – 100,3%).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662C4">
        <w:rPr>
          <w:rFonts w:ascii="Times New Roman" w:eastAsia="Calibri" w:hAnsi="Times New Roman" w:cs="Times New Roman"/>
          <w:sz w:val="30"/>
          <w:szCs w:val="30"/>
        </w:rPr>
        <w:t>За 2023 год темп роста валовой продукции сельского хозяйства во всех категориях хозяйств области составил 103,9% (по республике - 101,1%), в сельхозорганизациях и крестьянских (фермерских) хозяйствах – 106,5% (по республике – 102,2%).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 итогам работы за 2023 год по основным показателям животноводства обеспечен рост: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молока выросло 8,9%, в 2023 году впервые преодолели рубеж в 2 млн. тонн молока,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выращивание скота и птицы – на 2,7% до 329 тыс. тонн,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производство яиц – на 8,7% до 525 млн. штук.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Область на протяжение многих лет занимает лидирующие позиции по производительности скота: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в республике по среднему удою молока на корову (удой составил 7268 кг, по республике – 5862 кг);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первом месте по среднесуточным привесам свиней (741 г, по республике – 662 г);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- на втором месте – по среднесуточным привесам крупного рогатого скота (704 г, по республике – 617 г).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Планомерно проводимая работа по модернизации ферм позволила в настоящее время перевести на современные технологии 87% поголовья коров.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растениеводстве в 2023 году также по всем основным культурам обеспечен рост объемов производства: зерна намолотили 1,6 млн. тонн (101,6% к уровню 2022 г.), рапса – 203 тыс. тонн (111,2%), сахарной свеклы – 1018 тыс. тонн (102,6%), овощей – 258 тыс. тонн (103,2%).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Постоянно ведется модернизация производства. Так, в 2023 году: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велось строительство 134 животноводческих объектов, построено (реконструировано) и введено в эксплуатацию 40 МТФ,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в полном объеме введен в эксплуатацию свинокомплекс в Пинском районе,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построено (реконструировано) 144 сенажно-силосных траншеи,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- введено в эксплуатацию 6 зерноочистительно-сушильных комплексов,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- приобретено более двух тысяч (2250) единиц техники и оборудования, в том числе 203 зерноуборочных и 37 кормоуборочных</w:t>
      </w:r>
      <w:r w:rsidRPr="008662C4">
        <w:rPr>
          <w:rFonts w:ascii="Times New Roman" w:eastAsia="DengXian" w:hAnsi="Times New Roman" w:cs="Times New Roman"/>
          <w:iCs/>
          <w:sz w:val="30"/>
          <w:szCs w:val="30"/>
          <w:lang w:eastAsia="ru-RU"/>
        </w:rPr>
        <w:t xml:space="preserve"> комбайнов, 77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 энергонасыщенных тракторов.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Среди крупных сельхозорганизаций с площадью земель более 20 тысяч гектаров можно выделить «Беловежский» Каменецкого района, птицефабрику «Дружба» Барановичского, «Городец-Агро» Кобринского, «Ружаны-Агро» Пружанского районов.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>После присоединения к ОАО «Беловежский» ОАО «Отечество» Пружанского района общая земельная площадь хозяйства составила 43,3 тыс. га, в том числе сельхозугодий – 38 тыс. га. Это почти как Жабинковский или Ганцевичский район в целом.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Лидирующие позиции и у перерабатывающих предприятий области.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Мощности молокозаводов позволяют перерабатывать в год до 2,6 млн. тонн молока, мясокомбинатов </w:t>
      </w:r>
      <w:r w:rsidR="00CD27D9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 до 180</w:t>
      </w:r>
      <w:r w:rsidRPr="008662C4">
        <w:rPr>
          <w:rFonts w:ascii="Times New Roman" w:eastAsia="Times New Roman" w:hAnsi="Times New Roman" w:cs="Times New Roman"/>
          <w:sz w:val="30"/>
          <w:szCs w:val="30"/>
          <w:lang w:val="en-US"/>
        </w:rPr>
        <w:t> 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тыс. тонн скота.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Основным направлением развития молочной отрасли было и остается наращивание объемов производства сыров полутвердых, улучшение их качества и расширение ассортимента. Проведена модернизация сыродельного производства практически на всех предприятиях, что позволило нарастить производственные мощности по производству сыров до 134 тонн в смену.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В течение ряда последних лет созданы современные производства по переработке молока, мяса, плодоовощной и алкогольной, хлебопекарной продукции. Предприятиями ведется постоянная работа по обновлению и расширению ассортимента выпускаемой продукции за счет внедрения прогрессивных технологий, применения новых технологических приемов обработки сырья, способов упаковки и упаковочных материалов, изменения технологических режимов производства с учетом мировых тенденций.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2023 году производство масла выросло на 20,0% до 36,0 тыс. тонн, цельномолочной продукции (в пересчете на молоко) – на 12,2% до 654,8 тыс. тонн, сыров – на 3,3% до 114,5 тыс. тонн, мяса и субпродуктов – на 11,5% до 93,4 тыс. тонн, колбасных изделий – на 19,8% до 117,0 тыс. тонн.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Ассортимент цельномолочной продукции насчитывает более 200, сыров – около 100 наименований.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Крупнейшим производителем молочной продукции в области является «Савушкин продукт», основные мощности которого расположены в Бресте, но также имеются производственные площадки в Березе, Иваново, Барановичах, Пинске, Столине.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Более 80% колбасных изделий, реализуемых на экспорт мясокомбинатами области, приходится на долю ОАО «Брестский мясокомбинат». 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Ляховичским консервным заводом</w:t>
      </w:r>
      <w:r w:rsidRPr="008662C4">
        <w:rPr>
          <w:rFonts w:ascii="Times New Roman" w:eastAsia="DengXian" w:hAnsi="Times New Roman" w:cs="Times New Roman"/>
          <w:sz w:val="30"/>
          <w:szCs w:val="30"/>
          <w:shd w:val="clear" w:color="auto" w:fill="FFFFFF"/>
          <w:lang w:eastAsia="ru-RU"/>
        </w:rPr>
        <w:t xml:space="preserve"> выпускается ежегодно 100-120 наименований продукции, в том числе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для питания детей дошкольного и школьного возраста (томаты, огурцы, соки, нектары).</w:t>
      </w:r>
    </w:p>
    <w:p w:rsidR="008662C4" w:rsidRPr="008662C4" w:rsidRDefault="008662C4" w:rsidP="008662C4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eastAsia="ru-RU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 xml:space="preserve">Хлебозаводами производится более 500 наименований хлебобулочных изделий. </w:t>
      </w:r>
    </w:p>
    <w:p w:rsidR="008662C4" w:rsidRPr="008662C4" w:rsidRDefault="008662C4" w:rsidP="00866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О</w:t>
      </w:r>
      <w:r w:rsidRPr="008662C4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бласть традиционно занимает лидирующую позицию в республике по объемам экспорта сельскохозяйственной продукции и продуктов питания. </w:t>
      </w:r>
      <w:r w:rsidRPr="008662C4">
        <w:rPr>
          <w:rFonts w:ascii="Times New Roman" w:eastAsia="Times New Roman" w:hAnsi="Times New Roman" w:cs="Times New Roman"/>
          <w:sz w:val="30"/>
          <w:szCs w:val="30"/>
        </w:rPr>
        <w:t>Производя четверть республиканского объема продукции животноводства, область обеспечивает 30% экспорта молочных и мясных продуктов.</w:t>
      </w:r>
    </w:p>
    <w:p w:rsidR="00A95E54" w:rsidRPr="00866CC3" w:rsidRDefault="008662C4" w:rsidP="00866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662C4">
        <w:rPr>
          <w:rFonts w:ascii="Times New Roman" w:eastAsia="Times New Roman" w:hAnsi="Times New Roman" w:cs="Times New Roman"/>
          <w:sz w:val="30"/>
          <w:szCs w:val="30"/>
        </w:rPr>
        <w:t xml:space="preserve">Всего на экспорт поставляется более 75% произведенной молочной и 40% мясной продукции, </w:t>
      </w:r>
      <w:r w:rsidRPr="008662C4">
        <w:rPr>
          <w:rFonts w:ascii="Times New Roman" w:eastAsia="DengXian" w:hAnsi="Times New Roman" w:cs="Times New Roman"/>
          <w:sz w:val="30"/>
          <w:szCs w:val="30"/>
          <w:lang w:eastAsia="ru-RU"/>
        </w:rPr>
        <w:t>в том числе более 60% производимого масла, около 70% сыра полутвердого, порядка 30% цельномолочной продукции, около 30% колбасных изделий.</w:t>
      </w:r>
    </w:p>
    <w:sectPr w:rsidR="00A95E54" w:rsidRPr="00866CC3" w:rsidSect="009008A0">
      <w:headerReference w:type="default" r:id="rId7"/>
      <w:pgSz w:w="11906" w:h="16838"/>
      <w:pgMar w:top="1134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661" w:rsidRDefault="00902661" w:rsidP="00866CC3">
      <w:pPr>
        <w:spacing w:after="0" w:line="240" w:lineRule="auto"/>
      </w:pPr>
      <w:r>
        <w:separator/>
      </w:r>
    </w:p>
  </w:endnote>
  <w:endnote w:type="continuationSeparator" w:id="0">
    <w:p w:rsidR="00902661" w:rsidRDefault="00902661" w:rsidP="0086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">
    <w:altName w:val="等线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661" w:rsidRDefault="00902661" w:rsidP="00866CC3">
      <w:pPr>
        <w:spacing w:after="0" w:line="240" w:lineRule="auto"/>
      </w:pPr>
      <w:r>
        <w:separator/>
      </w:r>
    </w:p>
  </w:footnote>
  <w:footnote w:type="continuationSeparator" w:id="0">
    <w:p w:rsidR="00902661" w:rsidRDefault="00902661" w:rsidP="0086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715590"/>
      <w:docPartObj>
        <w:docPartGallery w:val="Page Numbers (Top of Page)"/>
        <w:docPartUnique/>
      </w:docPartObj>
    </w:sdtPr>
    <w:sdtEndPr/>
    <w:sdtContent>
      <w:p w:rsidR="00866CC3" w:rsidRDefault="00866CC3">
        <w:pPr>
          <w:pStyle w:val="a3"/>
          <w:jc w:val="center"/>
        </w:pPr>
        <w:r w:rsidRPr="00866CC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66CC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504F8E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66CC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866CC3" w:rsidRDefault="00866C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3"/>
    <w:rsid w:val="0018783F"/>
    <w:rsid w:val="00335F7F"/>
    <w:rsid w:val="00441A11"/>
    <w:rsid w:val="004F7F8F"/>
    <w:rsid w:val="00504F8E"/>
    <w:rsid w:val="0058692B"/>
    <w:rsid w:val="008662C4"/>
    <w:rsid w:val="00866CC3"/>
    <w:rsid w:val="009008A0"/>
    <w:rsid w:val="00902661"/>
    <w:rsid w:val="00A10FF6"/>
    <w:rsid w:val="00A95E54"/>
    <w:rsid w:val="00B36132"/>
    <w:rsid w:val="00CD27D9"/>
    <w:rsid w:val="00D71B36"/>
    <w:rsid w:val="00E86C03"/>
    <w:rsid w:val="00E9405F"/>
    <w:rsid w:val="00F5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CC3"/>
  </w:style>
  <w:style w:type="paragraph" w:styleId="a5">
    <w:name w:val="footer"/>
    <w:basedOn w:val="a"/>
    <w:link w:val="a6"/>
    <w:uiPriority w:val="99"/>
    <w:unhideWhenUsed/>
    <w:rsid w:val="00866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2412</Words>
  <Characters>13753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СидорчукОФ</cp:lastModifiedBy>
  <cp:revision>2</cp:revision>
  <dcterms:created xsi:type="dcterms:W3CDTF">2024-02-08T07:37:00Z</dcterms:created>
  <dcterms:modified xsi:type="dcterms:W3CDTF">2024-02-08T07:37:00Z</dcterms:modified>
</cp:coreProperties>
</file>